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6A08D" w14:textId="745A1DB8" w:rsidR="00274AC6" w:rsidRPr="00274AC6" w:rsidRDefault="00274AC6" w:rsidP="00274AC6">
      <w:pPr>
        <w:pStyle w:val="Header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 w:rsidRPr="00274AC6">
        <w:rPr>
          <w:rFonts w:asciiTheme="minorBidi" w:hAnsiTheme="minorBidi"/>
          <w:b/>
          <w:bCs/>
          <w:i/>
          <w:iCs/>
          <w:sz w:val="32"/>
          <w:szCs w:val="32"/>
        </w:rPr>
        <w:t>Press Release</w:t>
      </w:r>
    </w:p>
    <w:p w14:paraId="0FFA2EEB" w14:textId="77777777" w:rsidR="00274AC6" w:rsidRPr="00274AC6" w:rsidRDefault="00274AC6" w:rsidP="00274AC6">
      <w:pPr>
        <w:spacing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722D138A" w14:textId="247AA434" w:rsidR="00AB7468" w:rsidRPr="00274AC6" w:rsidRDefault="00AB7468" w:rsidP="00274AC6">
      <w:pPr>
        <w:spacing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  <w:r w:rsidRPr="00274AC6">
        <w:rPr>
          <w:rFonts w:asciiTheme="minorBidi" w:hAnsiTheme="minorBidi"/>
          <w:b/>
          <w:bCs/>
          <w:sz w:val="32"/>
          <w:szCs w:val="32"/>
        </w:rPr>
        <w:t>SCG</w:t>
      </w:r>
      <w:r w:rsidR="00C27F80" w:rsidRPr="00274AC6">
        <w:rPr>
          <w:rFonts w:asciiTheme="minorBidi" w:hAnsiTheme="minorBidi"/>
          <w:b/>
          <w:bCs/>
          <w:sz w:val="32"/>
          <w:szCs w:val="32"/>
          <w:cs/>
        </w:rPr>
        <w:t xml:space="preserve"> – </w:t>
      </w:r>
      <w:r w:rsidRPr="00274AC6">
        <w:rPr>
          <w:rFonts w:asciiTheme="minorBidi" w:hAnsiTheme="minorBidi"/>
          <w:b/>
          <w:bCs/>
          <w:sz w:val="32"/>
          <w:szCs w:val="32"/>
        </w:rPr>
        <w:t>D</w:t>
      </w:r>
      <w:r w:rsidR="00CF1A65" w:rsidRPr="00274AC6">
        <w:rPr>
          <w:rFonts w:asciiTheme="minorBidi" w:hAnsiTheme="minorBidi"/>
          <w:b/>
          <w:bCs/>
          <w:sz w:val="32"/>
          <w:szCs w:val="32"/>
        </w:rPr>
        <w:t>ow Completes MOC Debottleneck</w:t>
      </w:r>
      <w:r w:rsidRPr="00274AC6">
        <w:rPr>
          <w:rFonts w:asciiTheme="minorBidi" w:hAnsiTheme="minorBidi"/>
          <w:b/>
          <w:bCs/>
          <w:sz w:val="32"/>
          <w:szCs w:val="32"/>
        </w:rPr>
        <w:t>,</w:t>
      </w:r>
    </w:p>
    <w:p w14:paraId="106C6C5E" w14:textId="00BFB5D3" w:rsidR="00AB7468" w:rsidRPr="00274AC6" w:rsidRDefault="00AB7468" w:rsidP="00274AC6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274AC6">
        <w:rPr>
          <w:rFonts w:asciiTheme="minorBidi" w:hAnsiTheme="minorBidi"/>
          <w:b/>
          <w:bCs/>
          <w:sz w:val="32"/>
          <w:szCs w:val="32"/>
        </w:rPr>
        <w:t>Ready to Accelerate Growth and Meet Global Demands</w:t>
      </w:r>
    </w:p>
    <w:p w14:paraId="2CC2E6A2" w14:textId="77777777" w:rsidR="00AB7468" w:rsidRPr="00274AC6" w:rsidRDefault="00AB7468" w:rsidP="00274AC6">
      <w:pPr>
        <w:spacing w:after="0" w:line="240" w:lineRule="auto"/>
        <w:contextualSpacing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4E3A1ADE" w14:textId="299C35DF" w:rsidR="00AB7468" w:rsidRPr="00274AC6" w:rsidRDefault="00AB7468" w:rsidP="000050C4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274AC6">
        <w:rPr>
          <w:rFonts w:asciiTheme="minorBidi" w:eastAsia="Times New Roman" w:hAnsiTheme="minorBidi"/>
          <w:b/>
          <w:bCs/>
          <w:sz w:val="32"/>
          <w:szCs w:val="32"/>
        </w:rPr>
        <w:t>BANGKOK, 5 May 2021</w:t>
      </w:r>
      <w:r w:rsidRPr="00274AC6">
        <w:rPr>
          <w:rFonts w:asciiTheme="minorBidi" w:eastAsia="Times New Roman" w:hAnsiTheme="minorBidi"/>
          <w:sz w:val="32"/>
          <w:szCs w:val="32"/>
        </w:rPr>
        <w:t> </w:t>
      </w:r>
      <w:r w:rsidRPr="00274AC6">
        <w:rPr>
          <w:rFonts w:asciiTheme="minorBidi" w:eastAsia="Times New Roman" w:hAnsiTheme="minorBidi"/>
          <w:sz w:val="32"/>
          <w:szCs w:val="32"/>
          <w:cs/>
        </w:rPr>
        <w:t xml:space="preserve">– </w:t>
      </w:r>
      <w:r w:rsidRPr="00274AC6">
        <w:rPr>
          <w:rFonts w:asciiTheme="minorBidi" w:eastAsia="Times New Roman" w:hAnsiTheme="minorBidi"/>
          <w:sz w:val="32"/>
          <w:szCs w:val="32"/>
        </w:rPr>
        <w:t>SCG</w:t>
      </w:r>
      <w:r w:rsidR="005F42DC" w:rsidRPr="00274AC6">
        <w:rPr>
          <w:rFonts w:asciiTheme="minorBidi" w:eastAsia="Times New Roman" w:hAnsiTheme="minorBidi"/>
          <w:sz w:val="32"/>
          <w:szCs w:val="32"/>
          <w:cs/>
        </w:rPr>
        <w:t>’</w:t>
      </w:r>
      <w:r w:rsidR="005F42DC" w:rsidRPr="00274AC6">
        <w:rPr>
          <w:rFonts w:asciiTheme="minorBidi" w:eastAsia="Times New Roman" w:hAnsiTheme="minorBidi"/>
          <w:sz w:val="32"/>
          <w:szCs w:val="32"/>
        </w:rPr>
        <w:t>s Chemicals Business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 and Dow Thailand Group </w:t>
      </w:r>
      <w:r w:rsidRPr="00274AC6">
        <w:rPr>
          <w:rFonts w:asciiTheme="minorBidi" w:eastAsia="Times New Roman" w:hAnsiTheme="minorBidi"/>
          <w:sz w:val="32"/>
          <w:szCs w:val="32"/>
          <w:cs/>
        </w:rPr>
        <w:t>(</w:t>
      </w:r>
      <w:r w:rsidRPr="00274AC6">
        <w:rPr>
          <w:rFonts w:asciiTheme="minorBidi" w:eastAsia="Times New Roman" w:hAnsiTheme="minorBidi"/>
          <w:sz w:val="32"/>
          <w:szCs w:val="32"/>
        </w:rPr>
        <w:t>Dow</w:t>
      </w:r>
      <w:r w:rsidRPr="00274AC6">
        <w:rPr>
          <w:rFonts w:asciiTheme="minorBidi" w:eastAsia="Times New Roman" w:hAnsiTheme="minorBidi"/>
          <w:sz w:val="32"/>
          <w:szCs w:val="32"/>
          <w:cs/>
        </w:rPr>
        <w:t xml:space="preserve">) 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announced the success of Map Ta </w:t>
      </w:r>
      <w:proofErr w:type="spellStart"/>
      <w:r w:rsidRPr="00274AC6">
        <w:rPr>
          <w:rFonts w:asciiTheme="minorBidi" w:eastAsia="Times New Roman" w:hAnsiTheme="minorBidi"/>
          <w:sz w:val="32"/>
          <w:szCs w:val="32"/>
        </w:rPr>
        <w:t>Phut</w:t>
      </w:r>
      <w:proofErr w:type="spellEnd"/>
      <w:r w:rsidRPr="00274AC6">
        <w:rPr>
          <w:rFonts w:asciiTheme="minorBidi" w:eastAsia="Times New Roman" w:hAnsiTheme="minorBidi"/>
          <w:sz w:val="32"/>
          <w:szCs w:val="32"/>
        </w:rPr>
        <w:t xml:space="preserve"> Olefins </w:t>
      </w:r>
      <w:r w:rsidRPr="00274AC6">
        <w:rPr>
          <w:rFonts w:asciiTheme="minorBidi" w:eastAsia="Times New Roman" w:hAnsiTheme="minorBidi"/>
          <w:sz w:val="32"/>
          <w:szCs w:val="32"/>
          <w:cs/>
        </w:rPr>
        <w:t>(</w:t>
      </w:r>
      <w:r w:rsidRPr="00274AC6">
        <w:rPr>
          <w:rFonts w:asciiTheme="minorBidi" w:eastAsia="Times New Roman" w:hAnsiTheme="minorBidi"/>
          <w:sz w:val="32"/>
          <w:szCs w:val="32"/>
        </w:rPr>
        <w:t>MOC</w:t>
      </w:r>
      <w:r w:rsidRPr="00274AC6">
        <w:rPr>
          <w:rFonts w:asciiTheme="minorBidi" w:eastAsia="Times New Roman" w:hAnsiTheme="minorBidi"/>
          <w:sz w:val="32"/>
          <w:szCs w:val="32"/>
          <w:cs/>
        </w:rPr>
        <w:t>)</w:t>
      </w:r>
      <w:r w:rsidR="00E42973" w:rsidRPr="00274AC6">
        <w:rPr>
          <w:rFonts w:asciiTheme="minorBidi" w:eastAsia="Times New Roman" w:hAnsiTheme="minorBidi"/>
          <w:sz w:val="32"/>
          <w:szCs w:val="32"/>
        </w:rPr>
        <w:t xml:space="preserve"> Debottleneck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 Project </w:t>
      </w:r>
      <w:r w:rsidRPr="00274AC6">
        <w:rPr>
          <w:rFonts w:asciiTheme="minorBidi" w:eastAsia="Times New Roman" w:hAnsiTheme="minorBidi"/>
          <w:sz w:val="32"/>
          <w:szCs w:val="32"/>
          <w:cs/>
        </w:rPr>
        <w:t>(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MOC </w:t>
      </w:r>
      <w:r w:rsidR="00E42973" w:rsidRPr="00274AC6">
        <w:rPr>
          <w:rFonts w:asciiTheme="minorBidi" w:eastAsia="Times New Roman" w:hAnsiTheme="minorBidi"/>
          <w:sz w:val="32"/>
          <w:szCs w:val="32"/>
        </w:rPr>
        <w:t>Debottleneck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 or MOCD</w:t>
      </w:r>
      <w:r w:rsidRPr="00274AC6">
        <w:rPr>
          <w:rFonts w:asciiTheme="minorBidi" w:eastAsia="Times New Roman" w:hAnsiTheme="minorBidi"/>
          <w:sz w:val="32"/>
          <w:szCs w:val="32"/>
          <w:cs/>
        </w:rPr>
        <w:t>)</w:t>
      </w:r>
      <w:r w:rsidRPr="00274AC6">
        <w:rPr>
          <w:rFonts w:asciiTheme="minorBidi" w:eastAsia="Times New Roman" w:hAnsiTheme="minorBidi"/>
          <w:sz w:val="32"/>
          <w:szCs w:val="32"/>
        </w:rPr>
        <w:t xml:space="preserve">, which was completed </w:t>
      </w:r>
      <w:r w:rsidR="00E42973" w:rsidRPr="00274AC6">
        <w:rPr>
          <w:rFonts w:asciiTheme="minorBidi" w:eastAsia="Times New Roman" w:hAnsiTheme="minorBidi"/>
          <w:sz w:val="32"/>
          <w:szCs w:val="32"/>
        </w:rPr>
        <w:t>ahead of plan and has started initial production</w:t>
      </w:r>
      <w:r w:rsidR="00E42973" w:rsidRPr="00274AC6">
        <w:rPr>
          <w:rFonts w:asciiTheme="minorBidi" w:eastAsia="Times New Roman" w:hAnsiTheme="minorBidi"/>
          <w:sz w:val="32"/>
          <w:szCs w:val="32"/>
          <w:cs/>
        </w:rPr>
        <w:t xml:space="preserve">. </w:t>
      </w:r>
      <w:r w:rsidR="00E42973" w:rsidRPr="00274AC6">
        <w:rPr>
          <w:rFonts w:asciiTheme="minorBidi" w:eastAsia="Times New Roman" w:hAnsiTheme="minorBidi"/>
          <w:sz w:val="32"/>
          <w:szCs w:val="32"/>
        </w:rPr>
        <w:t>Production is expected to reach full capacity in May 2021</w:t>
      </w:r>
      <w:r w:rsidR="00E42973" w:rsidRPr="00274AC6">
        <w:rPr>
          <w:rFonts w:asciiTheme="minorBidi" w:eastAsia="Times New Roman" w:hAnsiTheme="minorBidi"/>
          <w:sz w:val="32"/>
          <w:szCs w:val="32"/>
          <w:cs/>
        </w:rPr>
        <w:t xml:space="preserve">. </w:t>
      </w:r>
      <w:r w:rsidRPr="00274AC6">
        <w:rPr>
          <w:rFonts w:asciiTheme="minorBidi" w:eastAsia="Times New Roman" w:hAnsiTheme="minorBidi"/>
          <w:sz w:val="32"/>
          <w:szCs w:val="32"/>
        </w:rPr>
        <w:t>The MOCD will expand the MOC's olefins production capacity by 350,000 tons per year, strengthening its capabilit</w:t>
      </w:r>
      <w:r w:rsidR="00CF1A65" w:rsidRPr="00274AC6">
        <w:rPr>
          <w:rFonts w:asciiTheme="minorBidi" w:eastAsia="Times New Roman" w:hAnsiTheme="minorBidi"/>
          <w:sz w:val="32"/>
          <w:szCs w:val="32"/>
        </w:rPr>
        <w:t xml:space="preserve">y and competitive advantage, </w:t>
      </w:r>
      <w:r w:rsidRPr="00274AC6">
        <w:rPr>
          <w:rFonts w:asciiTheme="minorBidi" w:eastAsia="Times New Roman" w:hAnsiTheme="minorBidi"/>
          <w:sz w:val="32"/>
          <w:szCs w:val="32"/>
        </w:rPr>
        <w:t>meeting the globally growing demand from industries</w:t>
      </w:r>
      <w:r w:rsidR="00CF1A65" w:rsidRPr="00274AC6">
        <w:rPr>
          <w:rFonts w:asciiTheme="minorBidi" w:eastAsia="Times New Roman" w:hAnsiTheme="minorBidi"/>
          <w:sz w:val="32"/>
          <w:szCs w:val="32"/>
        </w:rPr>
        <w:t>, and enhancing Thailand's petrochemical industry potentiality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 xml:space="preserve">. </w:t>
      </w:r>
      <w:r w:rsidR="00CF1A65" w:rsidRPr="00274AC6">
        <w:rPr>
          <w:rFonts w:asciiTheme="minorBidi" w:eastAsia="Times New Roman" w:hAnsiTheme="minorBidi"/>
          <w:sz w:val="32"/>
          <w:szCs w:val="32"/>
        </w:rPr>
        <w:t>State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-</w:t>
      </w:r>
      <w:r w:rsidR="00CF1A65" w:rsidRPr="00274AC6">
        <w:rPr>
          <w:rFonts w:asciiTheme="minorBidi" w:eastAsia="Times New Roman" w:hAnsiTheme="minorBidi"/>
          <w:sz w:val="32"/>
          <w:szCs w:val="32"/>
        </w:rPr>
        <w:t>of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-</w:t>
      </w:r>
      <w:r w:rsidR="00CF1A65" w:rsidRPr="00274AC6">
        <w:rPr>
          <w:rFonts w:asciiTheme="minorBidi" w:eastAsia="Times New Roman" w:hAnsiTheme="minorBidi"/>
          <w:sz w:val="32"/>
          <w:szCs w:val="32"/>
        </w:rPr>
        <w:t>the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-</w:t>
      </w:r>
      <w:r w:rsidR="00CF1A65" w:rsidRPr="00274AC6">
        <w:rPr>
          <w:rFonts w:asciiTheme="minorBidi" w:eastAsia="Times New Roman" w:hAnsiTheme="minorBidi"/>
          <w:sz w:val="32"/>
          <w:szCs w:val="32"/>
        </w:rPr>
        <w:t>art technology of MOC Debottleneck project enables the production process to have a lower investment cost, promotes energy saving, and is environmentally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-</w:t>
      </w:r>
      <w:r w:rsidR="00CF1A65" w:rsidRPr="00274AC6">
        <w:rPr>
          <w:rFonts w:asciiTheme="minorBidi" w:eastAsia="Times New Roman" w:hAnsiTheme="minorBidi"/>
          <w:sz w:val="32"/>
          <w:szCs w:val="32"/>
        </w:rPr>
        <w:t xml:space="preserve">friendly 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(</w:t>
      </w:r>
      <w:r w:rsidR="00CF1A65" w:rsidRPr="00274AC6">
        <w:rPr>
          <w:rFonts w:asciiTheme="minorBidi" w:eastAsia="Times New Roman" w:hAnsiTheme="minorBidi"/>
          <w:sz w:val="32"/>
          <w:szCs w:val="32"/>
        </w:rPr>
        <w:t>Green Process</w:t>
      </w:r>
      <w:r w:rsidR="00CF1A65" w:rsidRPr="00274AC6">
        <w:rPr>
          <w:rFonts w:asciiTheme="minorBidi" w:eastAsia="Times New Roman" w:hAnsiTheme="minorBidi"/>
          <w:sz w:val="32"/>
          <w:szCs w:val="32"/>
          <w:cs/>
        </w:rPr>
        <w:t>).</w:t>
      </w:r>
    </w:p>
    <w:p w14:paraId="75833E7C" w14:textId="77777777" w:rsidR="00AB7468" w:rsidRPr="00274AC6" w:rsidRDefault="00AB7468" w:rsidP="00274AC6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274AC6">
        <w:rPr>
          <w:rStyle w:val="Strong"/>
          <w:rFonts w:asciiTheme="minorBidi" w:hAnsiTheme="minorBidi"/>
          <w:sz w:val="32"/>
          <w:szCs w:val="32"/>
        </w:rPr>
        <w:t>Roongrote Rangsiyopash, President and CEO of SCG</w:t>
      </w:r>
      <w:r w:rsidRPr="00274AC6">
        <w:rPr>
          <w:rFonts w:asciiTheme="minorBidi" w:hAnsiTheme="minorBidi"/>
          <w:sz w:val="32"/>
          <w:szCs w:val="32"/>
        </w:rPr>
        <w:t xml:space="preserve">, said, </w:t>
      </w:r>
      <w:r w:rsidRPr="00274AC6">
        <w:rPr>
          <w:rFonts w:asciiTheme="minorBidi" w:hAnsiTheme="minorBidi"/>
          <w:sz w:val="32"/>
          <w:szCs w:val="32"/>
          <w:cs/>
        </w:rPr>
        <w:t>"</w:t>
      </w:r>
      <w:r w:rsidRPr="00274AC6">
        <w:rPr>
          <w:rFonts w:asciiTheme="minorBidi" w:hAnsiTheme="minorBidi"/>
          <w:sz w:val="32"/>
          <w:szCs w:val="32"/>
        </w:rPr>
        <w:t>The MOCD is the MOC's largest project in terms of investment and technological challenges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>The project was completed earlier than planned despite being amid the COVID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19 pandemic thanks to the stringent and continuous implementation of COVID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19 response measures and our professionals' capability and expertise to ensure safe and coherent project progress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>The project is now ready to meet the demands of the domestic and international markets</w:t>
      </w:r>
      <w:r w:rsidRPr="00274AC6">
        <w:rPr>
          <w:rFonts w:asciiTheme="minorBidi" w:hAnsiTheme="minorBidi"/>
          <w:sz w:val="32"/>
          <w:szCs w:val="32"/>
          <w:cs/>
        </w:rPr>
        <w:t>."</w:t>
      </w:r>
    </w:p>
    <w:p w14:paraId="1E839AC6" w14:textId="70DA3E88" w:rsidR="00AB7468" w:rsidRPr="00274AC6" w:rsidRDefault="00AB7468" w:rsidP="00274AC6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274AC6">
        <w:rPr>
          <w:rStyle w:val="Strong"/>
          <w:rFonts w:asciiTheme="minorBidi" w:hAnsiTheme="minorBidi"/>
          <w:sz w:val="32"/>
          <w:szCs w:val="32"/>
        </w:rPr>
        <w:t>Tanawong Areeratchakul, President of Chemicals Business, SCG, </w:t>
      </w:r>
      <w:r w:rsidRPr="00274AC6">
        <w:rPr>
          <w:rFonts w:asciiTheme="minorBidi" w:hAnsiTheme="minorBidi"/>
          <w:sz w:val="32"/>
          <w:szCs w:val="32"/>
        </w:rPr>
        <w:t xml:space="preserve">said, </w:t>
      </w:r>
      <w:r w:rsidRPr="00274AC6">
        <w:rPr>
          <w:rFonts w:asciiTheme="minorBidi" w:hAnsiTheme="minorBidi"/>
          <w:sz w:val="32"/>
          <w:szCs w:val="32"/>
          <w:cs/>
        </w:rPr>
        <w:t>"</w:t>
      </w:r>
      <w:r w:rsidRPr="00274AC6">
        <w:rPr>
          <w:rFonts w:asciiTheme="minorBidi" w:hAnsiTheme="minorBidi"/>
          <w:sz w:val="32"/>
          <w:szCs w:val="32"/>
        </w:rPr>
        <w:t>The MOCD is another significant collaborative milestone between</w:t>
      </w:r>
      <w:r w:rsidR="00CF1A65" w:rsidRPr="00274AC6">
        <w:rPr>
          <w:rFonts w:asciiTheme="minorBidi" w:hAnsiTheme="minorBidi"/>
          <w:sz w:val="32"/>
          <w:szCs w:val="32"/>
          <w:cs/>
        </w:rPr>
        <w:t xml:space="preserve"> </w:t>
      </w:r>
      <w:r w:rsidR="00CF1A65" w:rsidRPr="00274AC6">
        <w:rPr>
          <w:rFonts w:asciiTheme="minorBidi" w:hAnsiTheme="minorBidi"/>
          <w:sz w:val="32"/>
          <w:szCs w:val="32"/>
        </w:rPr>
        <w:t>SCG</w:t>
      </w:r>
      <w:r w:rsidR="00CF1A65" w:rsidRPr="00274AC6">
        <w:rPr>
          <w:rFonts w:asciiTheme="minorBidi" w:hAnsiTheme="minorBidi"/>
          <w:sz w:val="32"/>
          <w:szCs w:val="32"/>
          <w:cs/>
        </w:rPr>
        <w:t>’</w:t>
      </w:r>
      <w:r w:rsidR="00CF1A65" w:rsidRPr="00274AC6">
        <w:rPr>
          <w:rFonts w:asciiTheme="minorBidi" w:hAnsiTheme="minorBidi"/>
          <w:sz w:val="32"/>
          <w:szCs w:val="32"/>
        </w:rPr>
        <w:t xml:space="preserve">s Chemicals Business </w:t>
      </w:r>
      <w:r w:rsidRPr="00274AC6">
        <w:rPr>
          <w:rFonts w:asciiTheme="minorBidi" w:hAnsiTheme="minorBidi"/>
          <w:sz w:val="32"/>
          <w:szCs w:val="32"/>
        </w:rPr>
        <w:t>and Dow which work together to build growth and improve potentiality and competitive advantage at a global scale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 xml:space="preserve">This project will add MOC's </w:t>
      </w:r>
      <w:r w:rsidR="00C27F80" w:rsidRPr="00274AC6">
        <w:rPr>
          <w:rFonts w:asciiTheme="minorBidi" w:hAnsiTheme="minorBidi"/>
          <w:sz w:val="32"/>
          <w:szCs w:val="32"/>
        </w:rPr>
        <w:t xml:space="preserve">olefins </w:t>
      </w:r>
      <w:r w:rsidRPr="00274AC6">
        <w:rPr>
          <w:rFonts w:asciiTheme="minorBidi" w:hAnsiTheme="minorBidi"/>
          <w:sz w:val="32"/>
          <w:szCs w:val="32"/>
        </w:rPr>
        <w:t>production capacity by 350,000 tons per year and increase flexibility in feedstock selection, harnessing advanced production technologies that can lower costs and support energy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saving and green process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>The full commercial production is expected to be ready in May 2021</w:t>
      </w:r>
      <w:r w:rsidRPr="00274AC6">
        <w:rPr>
          <w:rFonts w:asciiTheme="minorBidi" w:hAnsiTheme="minorBidi"/>
          <w:sz w:val="32"/>
          <w:szCs w:val="32"/>
          <w:cs/>
        </w:rPr>
        <w:t>."</w:t>
      </w:r>
    </w:p>
    <w:p w14:paraId="023B315E" w14:textId="77777777" w:rsidR="00AB7468" w:rsidRPr="00274AC6" w:rsidRDefault="00AB7468" w:rsidP="00274AC6">
      <w:pPr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proofErr w:type="spellStart"/>
      <w:r w:rsidRPr="00274AC6">
        <w:rPr>
          <w:rStyle w:val="Strong"/>
          <w:rFonts w:asciiTheme="minorBidi" w:hAnsiTheme="minorBidi"/>
          <w:sz w:val="32"/>
          <w:szCs w:val="32"/>
        </w:rPr>
        <w:t>Bambang</w:t>
      </w:r>
      <w:proofErr w:type="spellEnd"/>
      <w:r w:rsidRPr="00274AC6">
        <w:rPr>
          <w:rStyle w:val="Strong"/>
          <w:rFonts w:asciiTheme="minorBidi" w:hAnsiTheme="minorBidi"/>
          <w:sz w:val="32"/>
          <w:szCs w:val="32"/>
        </w:rPr>
        <w:t xml:space="preserve"> </w:t>
      </w:r>
      <w:proofErr w:type="spellStart"/>
      <w:r w:rsidRPr="00274AC6">
        <w:rPr>
          <w:rStyle w:val="Strong"/>
          <w:rFonts w:asciiTheme="minorBidi" w:hAnsiTheme="minorBidi"/>
          <w:sz w:val="32"/>
          <w:szCs w:val="32"/>
        </w:rPr>
        <w:t>Candra</w:t>
      </w:r>
      <w:proofErr w:type="spellEnd"/>
      <w:r w:rsidRPr="00274AC6">
        <w:rPr>
          <w:rFonts w:asciiTheme="minorBidi" w:hAnsiTheme="minorBidi"/>
          <w:sz w:val="32"/>
          <w:szCs w:val="32"/>
        </w:rPr>
        <w:t xml:space="preserve">, </w:t>
      </w:r>
      <w:r w:rsidRPr="00274AC6">
        <w:rPr>
          <w:rFonts w:asciiTheme="minorBidi" w:hAnsiTheme="minorBidi"/>
          <w:b/>
          <w:bCs/>
          <w:sz w:val="32"/>
          <w:szCs w:val="32"/>
        </w:rPr>
        <w:t>Asia Pacific Commercial Vice President of Dow Packaging and Specialty Plastics</w:t>
      </w:r>
      <w:r w:rsidRPr="00274AC6">
        <w:rPr>
          <w:rFonts w:asciiTheme="minorBidi" w:hAnsiTheme="minorBidi"/>
          <w:sz w:val="32"/>
          <w:szCs w:val="32"/>
        </w:rPr>
        <w:t xml:space="preserve">, revealed, </w:t>
      </w:r>
      <w:r w:rsidRPr="00274AC6">
        <w:rPr>
          <w:rFonts w:asciiTheme="minorBidi" w:hAnsiTheme="minorBidi"/>
          <w:sz w:val="32"/>
          <w:szCs w:val="32"/>
          <w:cs/>
        </w:rPr>
        <w:t>"</w:t>
      </w:r>
      <w:r w:rsidRPr="00274AC6">
        <w:rPr>
          <w:rFonts w:asciiTheme="minorBidi" w:hAnsiTheme="minorBidi"/>
          <w:sz w:val="32"/>
          <w:szCs w:val="32"/>
        </w:rPr>
        <w:t>Dow's differentiated offerings in packaging and specialty plastics applications have seen exceptional growth and traction in the Asia Pacific driven by megatrends including sustainability, industry 4</w:t>
      </w:r>
      <w:r w:rsidRPr="00274AC6">
        <w:rPr>
          <w:rFonts w:asciiTheme="minorBidi" w:hAnsiTheme="minorBidi"/>
          <w:sz w:val="32"/>
          <w:szCs w:val="32"/>
          <w:cs/>
        </w:rPr>
        <w:t>.</w:t>
      </w:r>
      <w:r w:rsidRPr="00274AC6">
        <w:rPr>
          <w:rFonts w:asciiTheme="minorBidi" w:hAnsiTheme="minorBidi"/>
          <w:sz w:val="32"/>
          <w:szCs w:val="32"/>
        </w:rPr>
        <w:t>0, and healthcare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 xml:space="preserve">The successful completion of the debottlenecking </w:t>
      </w:r>
      <w:r w:rsidRPr="00274AC6">
        <w:rPr>
          <w:rFonts w:asciiTheme="minorBidi" w:hAnsiTheme="minorBidi"/>
          <w:sz w:val="32"/>
          <w:szCs w:val="32"/>
        </w:rPr>
        <w:lastRenderedPageBreak/>
        <w:t>delivers welcomed capacity expansion that helps position Dow well to continue to capture this growth</w:t>
      </w:r>
      <w:r w:rsidRPr="00274AC6">
        <w:rPr>
          <w:rFonts w:asciiTheme="minorBidi" w:hAnsiTheme="minorBidi"/>
          <w:sz w:val="32"/>
          <w:szCs w:val="32"/>
          <w:cs/>
        </w:rPr>
        <w:t>."</w:t>
      </w:r>
    </w:p>
    <w:p w14:paraId="73BC7E15" w14:textId="19B3E77E" w:rsidR="00E42973" w:rsidRPr="00274AC6" w:rsidRDefault="00E42973" w:rsidP="00274AC6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proofErr w:type="spellStart"/>
      <w:r w:rsidRPr="00274AC6">
        <w:rPr>
          <w:rFonts w:asciiTheme="minorBidi" w:hAnsiTheme="minorBidi"/>
          <w:b/>
          <w:bCs/>
          <w:sz w:val="32"/>
          <w:szCs w:val="32"/>
        </w:rPr>
        <w:t>Chatchai</w:t>
      </w:r>
      <w:proofErr w:type="spellEnd"/>
      <w:r w:rsidRPr="00274AC6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274AC6">
        <w:rPr>
          <w:rFonts w:asciiTheme="minorBidi" w:hAnsiTheme="minorBidi"/>
          <w:b/>
          <w:bCs/>
          <w:sz w:val="32"/>
          <w:szCs w:val="32"/>
        </w:rPr>
        <w:t>Luanpolcharoenchai</w:t>
      </w:r>
      <w:proofErr w:type="spellEnd"/>
      <w:r w:rsidRPr="00274AC6">
        <w:rPr>
          <w:rFonts w:asciiTheme="minorBidi" w:hAnsiTheme="minorBidi"/>
          <w:b/>
          <w:bCs/>
          <w:sz w:val="32"/>
          <w:szCs w:val="32"/>
        </w:rPr>
        <w:t>, Dow Thailand President,</w:t>
      </w:r>
      <w:r w:rsidRPr="00274AC6">
        <w:rPr>
          <w:rFonts w:asciiTheme="minorBidi" w:hAnsiTheme="minorBidi"/>
          <w:sz w:val="32"/>
          <w:szCs w:val="32"/>
        </w:rPr>
        <w:t xml:space="preserve"> concluded, </w:t>
      </w:r>
      <w:r w:rsidRPr="00274AC6">
        <w:rPr>
          <w:rFonts w:asciiTheme="minorBidi" w:hAnsiTheme="minorBidi"/>
          <w:sz w:val="32"/>
          <w:szCs w:val="32"/>
          <w:cs/>
        </w:rPr>
        <w:t>"</w:t>
      </w:r>
      <w:r w:rsidRPr="00274AC6">
        <w:rPr>
          <w:rFonts w:asciiTheme="minorBidi" w:hAnsiTheme="minorBidi"/>
          <w:sz w:val="32"/>
          <w:szCs w:val="32"/>
        </w:rPr>
        <w:t>Dow's collaboration with SCG to invest and bring in state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of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the</w:t>
      </w:r>
      <w:r w:rsidRPr="00274AC6">
        <w:rPr>
          <w:rFonts w:asciiTheme="minorBidi" w:hAnsiTheme="minorBidi"/>
          <w:sz w:val="32"/>
          <w:szCs w:val="32"/>
          <w:cs/>
        </w:rPr>
        <w:t>-</w:t>
      </w:r>
      <w:r w:rsidRPr="00274AC6">
        <w:rPr>
          <w:rFonts w:asciiTheme="minorBidi" w:hAnsiTheme="minorBidi"/>
          <w:sz w:val="32"/>
          <w:szCs w:val="32"/>
        </w:rPr>
        <w:t>art technology to this project demonstrates our commitment to customers in the Asia Pacific and the growth of their businesses</w:t>
      </w:r>
      <w:r w:rsidRPr="00274AC6">
        <w:rPr>
          <w:rFonts w:asciiTheme="minorBidi" w:hAnsiTheme="minorBidi"/>
          <w:sz w:val="32"/>
          <w:szCs w:val="32"/>
          <w:cs/>
        </w:rPr>
        <w:t xml:space="preserve">. </w:t>
      </w:r>
      <w:r w:rsidRPr="00274AC6">
        <w:rPr>
          <w:rFonts w:asciiTheme="minorBidi" w:hAnsiTheme="minorBidi"/>
          <w:sz w:val="32"/>
          <w:szCs w:val="32"/>
        </w:rPr>
        <w:t>It also strengthens Thai industries' technology and competitiveness, which will help drive the country's economy</w:t>
      </w:r>
      <w:r w:rsidRPr="00274AC6">
        <w:rPr>
          <w:rFonts w:asciiTheme="minorBidi" w:hAnsiTheme="minorBidi"/>
          <w:sz w:val="32"/>
          <w:szCs w:val="32"/>
          <w:cs/>
        </w:rPr>
        <w:t>.”</w:t>
      </w:r>
    </w:p>
    <w:p w14:paraId="1D079A91" w14:textId="0B6AAC99" w:rsidR="00AB7468" w:rsidRDefault="00AB7468" w:rsidP="00274AC6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274AC6">
        <w:rPr>
          <w:rFonts w:asciiTheme="minorBidi" w:hAnsiTheme="minorBidi"/>
          <w:sz w:val="32"/>
          <w:szCs w:val="32"/>
          <w:lang w:val="en"/>
        </w:rPr>
        <w:t xml:space="preserve">Map Ta </w:t>
      </w:r>
      <w:proofErr w:type="spellStart"/>
      <w:r w:rsidRPr="00274AC6">
        <w:rPr>
          <w:rFonts w:asciiTheme="minorBidi" w:hAnsiTheme="minorBidi"/>
          <w:sz w:val="32"/>
          <w:szCs w:val="32"/>
          <w:lang w:val="en"/>
        </w:rPr>
        <w:t>Phut</w:t>
      </w:r>
      <w:proofErr w:type="spellEnd"/>
      <w:r w:rsidRPr="00274AC6">
        <w:rPr>
          <w:rFonts w:asciiTheme="minorBidi" w:hAnsiTheme="minorBidi"/>
          <w:sz w:val="32"/>
          <w:szCs w:val="32"/>
          <w:lang w:val="en"/>
        </w:rPr>
        <w:t xml:space="preserve"> Olefins Company Limited </w:t>
      </w:r>
      <w:r w:rsidRPr="00274AC6">
        <w:rPr>
          <w:rFonts w:asciiTheme="minorBidi" w:hAnsiTheme="minorBidi"/>
          <w:sz w:val="32"/>
          <w:szCs w:val="32"/>
          <w:cs/>
          <w:lang w:val="en"/>
        </w:rPr>
        <w:t>(</w:t>
      </w:r>
      <w:r w:rsidRPr="00274AC6">
        <w:rPr>
          <w:rFonts w:asciiTheme="minorBidi" w:hAnsiTheme="minorBidi"/>
          <w:sz w:val="32"/>
          <w:szCs w:val="32"/>
          <w:lang w:val="en"/>
        </w:rPr>
        <w:t>MOC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) </w:t>
      </w:r>
      <w:r w:rsidRPr="00274AC6">
        <w:rPr>
          <w:rFonts w:asciiTheme="minorBidi" w:hAnsiTheme="minorBidi"/>
          <w:sz w:val="32"/>
          <w:szCs w:val="32"/>
          <w:lang w:val="en"/>
        </w:rPr>
        <w:t xml:space="preserve">is a joint venture between SCG Chemicals Company Limited </w:t>
      </w:r>
      <w:r w:rsidRPr="00274AC6">
        <w:rPr>
          <w:rFonts w:asciiTheme="minorBidi" w:hAnsiTheme="minorBidi"/>
          <w:sz w:val="32"/>
          <w:szCs w:val="32"/>
          <w:cs/>
          <w:lang w:val="en"/>
        </w:rPr>
        <w:t>(</w:t>
      </w:r>
      <w:r w:rsidRPr="00274AC6">
        <w:rPr>
          <w:rFonts w:asciiTheme="minorBidi" w:hAnsiTheme="minorBidi"/>
          <w:sz w:val="32"/>
          <w:szCs w:val="32"/>
          <w:lang w:val="en"/>
        </w:rPr>
        <w:t>a wholly</w:t>
      </w:r>
      <w:r w:rsidRPr="00274AC6">
        <w:rPr>
          <w:rFonts w:asciiTheme="minorBidi" w:hAnsiTheme="minorBidi"/>
          <w:sz w:val="32"/>
          <w:szCs w:val="32"/>
          <w:cs/>
          <w:lang w:val="en"/>
        </w:rPr>
        <w:t>-</w:t>
      </w:r>
      <w:r w:rsidRPr="00274AC6">
        <w:rPr>
          <w:rFonts w:asciiTheme="minorBidi" w:hAnsiTheme="minorBidi"/>
          <w:sz w:val="32"/>
          <w:szCs w:val="32"/>
          <w:lang w:val="en"/>
        </w:rPr>
        <w:t>owned subsidiary of SCG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) </w:t>
      </w:r>
      <w:r w:rsidRPr="00274AC6">
        <w:rPr>
          <w:rFonts w:asciiTheme="minorBidi" w:hAnsiTheme="minorBidi"/>
          <w:sz w:val="32"/>
          <w:szCs w:val="32"/>
          <w:lang w:val="en"/>
        </w:rPr>
        <w:t>and Dow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. </w:t>
      </w:r>
      <w:r w:rsidRPr="00274AC6">
        <w:rPr>
          <w:rFonts w:asciiTheme="minorBidi" w:hAnsiTheme="minorBidi"/>
          <w:sz w:val="32"/>
          <w:szCs w:val="32"/>
          <w:lang w:val="en"/>
        </w:rPr>
        <w:t>Currently, SCG holds an indirect stake of 67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% </w:t>
      </w:r>
      <w:r w:rsidRPr="00274AC6">
        <w:rPr>
          <w:rFonts w:asciiTheme="minorBidi" w:hAnsiTheme="minorBidi"/>
          <w:sz w:val="32"/>
          <w:szCs w:val="32"/>
          <w:lang w:val="en"/>
        </w:rPr>
        <w:t>in MOC while Dow owns the remaining 33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% </w:t>
      </w:r>
      <w:r w:rsidRPr="00274AC6">
        <w:rPr>
          <w:rFonts w:asciiTheme="minorBidi" w:hAnsiTheme="minorBidi"/>
          <w:sz w:val="32"/>
          <w:szCs w:val="32"/>
          <w:lang w:val="en"/>
        </w:rPr>
        <w:t>of both direct and indirect shares</w:t>
      </w:r>
      <w:r w:rsidRPr="00274AC6">
        <w:rPr>
          <w:rFonts w:asciiTheme="minorBidi" w:hAnsiTheme="minorBidi"/>
          <w:sz w:val="32"/>
          <w:szCs w:val="32"/>
          <w:cs/>
          <w:lang w:val="en"/>
        </w:rPr>
        <w:t xml:space="preserve">. </w:t>
      </w:r>
      <w:r w:rsidRPr="00274AC6">
        <w:rPr>
          <w:rFonts w:asciiTheme="minorBidi" w:hAnsiTheme="minorBidi"/>
          <w:sz w:val="32"/>
          <w:szCs w:val="32"/>
          <w:lang w:val="en"/>
        </w:rPr>
        <w:t>In 2018</w:t>
      </w:r>
      <w:r w:rsidR="00CF1A65" w:rsidRPr="00274AC6">
        <w:rPr>
          <w:rFonts w:asciiTheme="minorBidi" w:hAnsiTheme="minorBidi"/>
          <w:sz w:val="32"/>
          <w:szCs w:val="32"/>
          <w:lang w:val="en"/>
        </w:rPr>
        <w:t>, SCG and Dow approved the MOC Debottleneck</w:t>
      </w:r>
      <w:r w:rsidRPr="00274AC6">
        <w:rPr>
          <w:rFonts w:asciiTheme="minorBidi" w:hAnsiTheme="minorBidi"/>
          <w:sz w:val="32"/>
          <w:szCs w:val="32"/>
          <w:lang w:val="en"/>
        </w:rPr>
        <w:t xml:space="preserve"> project with an investment of approximately 15</w:t>
      </w:r>
      <w:r w:rsidRPr="00274AC6">
        <w:rPr>
          <w:rFonts w:asciiTheme="minorBidi" w:hAnsiTheme="minorBidi"/>
          <w:sz w:val="32"/>
          <w:szCs w:val="32"/>
          <w:cs/>
          <w:lang w:val="en"/>
        </w:rPr>
        <w:t>.</w:t>
      </w:r>
      <w:r w:rsidRPr="00274AC6">
        <w:rPr>
          <w:rFonts w:asciiTheme="minorBidi" w:hAnsiTheme="minorBidi"/>
          <w:sz w:val="32"/>
          <w:szCs w:val="32"/>
          <w:lang w:val="en"/>
        </w:rPr>
        <w:t>5 billion baht</w:t>
      </w:r>
      <w:r w:rsidRPr="00274AC6">
        <w:rPr>
          <w:rFonts w:asciiTheme="minorBidi" w:hAnsiTheme="minorBidi"/>
          <w:sz w:val="32"/>
          <w:szCs w:val="32"/>
          <w:cs/>
          <w:lang w:val="en"/>
        </w:rPr>
        <w:t>.</w:t>
      </w:r>
    </w:p>
    <w:p w14:paraId="166C1664" w14:textId="77777777" w:rsidR="00837D38" w:rsidRPr="00274AC6" w:rsidRDefault="00837D38" w:rsidP="00274AC6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</w:p>
    <w:p w14:paraId="7A236A6C" w14:textId="16A32261" w:rsidR="00274AC6" w:rsidRPr="00274AC6" w:rsidRDefault="00274AC6" w:rsidP="00837D38">
      <w:pPr>
        <w:spacing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  <w:r w:rsidRPr="00274AC6">
        <w:rPr>
          <w:rFonts w:asciiTheme="minorBidi" w:hAnsiTheme="minorBidi" w:cs="Cordia New"/>
          <w:sz w:val="32"/>
          <w:szCs w:val="32"/>
          <w:cs/>
        </w:rPr>
        <w:t>*********************************************</w:t>
      </w:r>
    </w:p>
    <w:p w14:paraId="26D74AD8" w14:textId="2C5F03C2" w:rsidR="00274AC6" w:rsidRDefault="00274AC6" w:rsidP="00274AC6">
      <w:pPr>
        <w:spacing w:line="240" w:lineRule="auto"/>
        <w:contextualSpacing/>
        <w:jc w:val="thaiDistribute"/>
        <w:rPr>
          <w:rFonts w:asciiTheme="minorBidi" w:hAnsiTheme="minorBidi"/>
          <w:sz w:val="28"/>
        </w:rPr>
      </w:pPr>
    </w:p>
    <w:p w14:paraId="2BBF621F" w14:textId="3670731C" w:rsidR="00AB7468" w:rsidRPr="00274AC6" w:rsidRDefault="00AB7468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  <w:r w:rsidRPr="00274AC6">
        <w:rPr>
          <w:rFonts w:asciiTheme="minorBidi" w:hAnsiTheme="minorBidi"/>
          <w:b/>
          <w:sz w:val="28"/>
        </w:rPr>
        <w:t xml:space="preserve">About Map Ta </w:t>
      </w:r>
      <w:proofErr w:type="spellStart"/>
      <w:r w:rsidRPr="00274AC6">
        <w:rPr>
          <w:rFonts w:asciiTheme="minorBidi" w:hAnsiTheme="minorBidi"/>
          <w:b/>
          <w:sz w:val="28"/>
        </w:rPr>
        <w:t>Phut</w:t>
      </w:r>
      <w:proofErr w:type="spellEnd"/>
      <w:r w:rsidRPr="00274AC6">
        <w:rPr>
          <w:rFonts w:asciiTheme="minorBidi" w:hAnsiTheme="minorBidi"/>
          <w:b/>
          <w:sz w:val="28"/>
        </w:rPr>
        <w:t xml:space="preserve"> Olefins Company Limited</w:t>
      </w:r>
    </w:p>
    <w:p w14:paraId="4C65264C" w14:textId="53DBB086" w:rsidR="00AB7468" w:rsidRPr="00274AC6" w:rsidRDefault="00AB7468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sz w:val="28"/>
          <w:szCs w:val="28"/>
          <w:lang w:bidi="th-TH"/>
        </w:rPr>
      </w:pP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Map Ta 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Phut</w:t>
      </w:r>
      <w:proofErr w:type="spellEnd"/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 Olefins Company Limited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MOC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is a world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scale upstream petrochemical plant with a comprehensive production range that links to downstream petrochemical activities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Located in Map Ta 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Phut</w:t>
      </w:r>
      <w:proofErr w:type="spellEnd"/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 Sub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district, 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Rayong</w:t>
      </w:r>
      <w:proofErr w:type="spellEnd"/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 Province, the plant has commenced its operations since April 2010 and completed a debottlenecking project or MOCD to start a full commercial operation in May 2021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</w:p>
    <w:p w14:paraId="2FA758B1" w14:textId="77777777" w:rsidR="00E42973" w:rsidRPr="00274AC6" w:rsidRDefault="00E42973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</w:p>
    <w:p w14:paraId="5F7B115E" w14:textId="136BF51F" w:rsidR="00AB7468" w:rsidRPr="00274AC6" w:rsidRDefault="00AB7468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274AC6">
        <w:rPr>
          <w:rFonts w:asciiTheme="minorBidi" w:hAnsiTheme="minorBidi" w:cstheme="minorBidi"/>
          <w:b/>
          <w:bCs/>
          <w:sz w:val="28"/>
          <w:szCs w:val="28"/>
        </w:rPr>
        <w:t>About SCG, Chemicals Business</w:t>
      </w:r>
    </w:p>
    <w:p w14:paraId="32D55E0A" w14:textId="1D03668B" w:rsidR="00E42973" w:rsidRPr="00274AC6" w:rsidRDefault="00E42973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sz w:val="28"/>
          <w:szCs w:val="28"/>
          <w:lang w:bidi="th-TH"/>
        </w:rPr>
      </w:pP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Chemicals Business, SCG, is one of the largest integrated petrochemical companies in Thailand and a key industry leader in Asia offers a full range of petrochemical products ranging from upstream production of olefins to downstream production of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3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main plastics resins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: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polyethylene, polypropylene, and polyvinyl chloride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Chemicals Business is committed to conducting business in line with Environmental, Social and Governance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ESG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and achieving Sustainable Development Goals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SDGs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Chemicals Business on developing new technology and innovation to create high value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added products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HVA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and holistic service solutions concerning areas on the rise such as circular economy, medical &amp; healthcare, electric vehicle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EV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to better meet diverse places emphasis demands and sustainable environmental stewardship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For more information, please visit </w:t>
      </w:r>
      <w:hyperlink r:id="rId6" w:history="1">
        <w:r w:rsidRPr="00274AC6">
          <w:rPr>
            <w:rFonts w:asciiTheme="minorBidi" w:hAnsiTheme="minorBidi" w:cstheme="minorBidi"/>
            <w:sz w:val="28"/>
            <w:szCs w:val="28"/>
            <w:lang w:bidi="th-TH"/>
          </w:rPr>
          <w:t>www</w:t>
        </w:r>
        <w:r w:rsidRPr="00274AC6">
          <w:rPr>
            <w:rFonts w:asciiTheme="minorBidi" w:hAnsiTheme="minorBidi" w:cstheme="minorBidi"/>
            <w:sz w:val="28"/>
            <w:szCs w:val="28"/>
            <w:cs/>
            <w:lang w:bidi="th-TH"/>
          </w:rPr>
          <w:t>.</w:t>
        </w:r>
        <w:proofErr w:type="spellStart"/>
        <w:r w:rsidRPr="00274AC6">
          <w:rPr>
            <w:rFonts w:asciiTheme="minorBidi" w:hAnsiTheme="minorBidi" w:cstheme="minorBidi"/>
            <w:sz w:val="28"/>
            <w:szCs w:val="28"/>
            <w:lang w:bidi="th-TH"/>
          </w:rPr>
          <w:t>scgchemicals</w:t>
        </w:r>
        <w:proofErr w:type="spellEnd"/>
        <w:r w:rsidRPr="00274AC6">
          <w:rPr>
            <w:rFonts w:asciiTheme="minorBidi" w:hAnsiTheme="minorBidi" w:cstheme="minorBidi"/>
            <w:sz w:val="28"/>
            <w:szCs w:val="28"/>
            <w:cs/>
            <w:lang w:bidi="th-TH"/>
          </w:rPr>
          <w:t>.</w:t>
        </w:r>
        <w:r w:rsidRPr="00274AC6">
          <w:rPr>
            <w:rFonts w:asciiTheme="minorBidi" w:hAnsiTheme="minorBidi" w:cstheme="minorBidi"/>
            <w:sz w:val="28"/>
            <w:szCs w:val="28"/>
            <w:lang w:bidi="th-TH"/>
          </w:rPr>
          <w:t>com</w:t>
        </w:r>
      </w:hyperlink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</w:p>
    <w:p w14:paraId="26AB39DF" w14:textId="28ED4DFB" w:rsidR="00E42973" w:rsidRPr="00274AC6" w:rsidRDefault="00E42973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sz w:val="28"/>
          <w:szCs w:val="28"/>
          <w:lang w:bidi="th-TH"/>
        </w:rPr>
      </w:pPr>
    </w:p>
    <w:p w14:paraId="0C2C8714" w14:textId="1DF34C9B" w:rsidR="00AB7468" w:rsidRDefault="00AB7468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b/>
          <w:sz w:val="28"/>
        </w:rPr>
      </w:pPr>
    </w:p>
    <w:p w14:paraId="19CE9134" w14:textId="24A548E4" w:rsidR="00F26014" w:rsidRDefault="00F26014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b/>
          <w:sz w:val="28"/>
        </w:rPr>
      </w:pPr>
    </w:p>
    <w:p w14:paraId="73EA13DD" w14:textId="77777777" w:rsidR="00F26014" w:rsidRDefault="00F26014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b/>
          <w:sz w:val="28"/>
        </w:rPr>
      </w:pPr>
      <w:bookmarkStart w:id="0" w:name="_GoBack"/>
      <w:bookmarkEnd w:id="0"/>
    </w:p>
    <w:p w14:paraId="2FB8A903" w14:textId="77777777" w:rsidR="006501E0" w:rsidRPr="00274AC6" w:rsidRDefault="006501E0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b/>
          <w:sz w:val="28"/>
          <w:cs/>
        </w:rPr>
      </w:pPr>
    </w:p>
    <w:p w14:paraId="2CDC0CDE" w14:textId="0DFBB3C7" w:rsidR="00AB7468" w:rsidRPr="00274AC6" w:rsidRDefault="00AB7468" w:rsidP="00274AC6">
      <w:pPr>
        <w:autoSpaceDE w:val="0"/>
        <w:autoSpaceDN w:val="0"/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  <w:r w:rsidRPr="00274AC6">
        <w:rPr>
          <w:rFonts w:asciiTheme="minorBidi" w:hAnsiTheme="minorBidi"/>
          <w:b/>
          <w:sz w:val="28"/>
        </w:rPr>
        <w:lastRenderedPageBreak/>
        <w:t>About Dow</w:t>
      </w:r>
    </w:p>
    <w:p w14:paraId="10E662D0" w14:textId="77777777" w:rsidR="00AB7468" w:rsidRPr="00274AC6" w:rsidRDefault="00AB7468" w:rsidP="00274AC6">
      <w:pPr>
        <w:pStyle w:val="LetterBody"/>
        <w:spacing w:line="240" w:lineRule="auto"/>
        <w:contextualSpacing/>
        <w:jc w:val="thaiDistribute"/>
        <w:rPr>
          <w:rFonts w:asciiTheme="minorBidi" w:hAnsiTheme="minorBidi" w:cstheme="minorBidi"/>
          <w:sz w:val="28"/>
          <w:szCs w:val="28"/>
          <w:lang w:bidi="th-TH"/>
        </w:rPr>
      </w:pP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Dow 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(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NYSE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: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DOW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)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combines global breadth, asset integration and scale, focused innovation, and leading business positions to achieve profitable growth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The Company's ambition is to become the most innovative, customer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centric, inclusive, and sustainable materials science company, with a purpose to deliver a sustainable future for the world through our materials science expertise and collaboration with our partners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Dow's portfolio of plastics, industrial intermediates, coatings, and silicones businesses delivers a broad range of differentiated science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based products and solutions for its customers in high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-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growth market segments, such as packaging, infrastructure, mobility, and consumer care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Dow operates 106 manufacturing sites in 31 countries and employs approximately 35,700 people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Dow delivered sales of approximately $39 billion in 2020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References to Dow or the Company mean Dow 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Inc</w:t>
      </w:r>
      <w:proofErr w:type="spellEnd"/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and its subsidiaries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 xml:space="preserve">. 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For more information, please visit www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dow</w:t>
      </w:r>
      <w:proofErr w:type="spellEnd"/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  <w:r w:rsidRPr="00274AC6">
        <w:rPr>
          <w:rFonts w:asciiTheme="minorBidi" w:hAnsiTheme="minorBidi" w:cstheme="minorBidi"/>
          <w:sz w:val="28"/>
          <w:szCs w:val="28"/>
          <w:lang w:bidi="th-TH"/>
        </w:rPr>
        <w:t>com or follow @</w:t>
      </w:r>
      <w:proofErr w:type="spellStart"/>
      <w:r w:rsidRPr="00274AC6">
        <w:rPr>
          <w:rFonts w:asciiTheme="minorBidi" w:hAnsiTheme="minorBidi" w:cstheme="minorBidi"/>
          <w:sz w:val="28"/>
          <w:szCs w:val="28"/>
          <w:lang w:bidi="th-TH"/>
        </w:rPr>
        <w:t>DowNewsroom</w:t>
      </w:r>
      <w:proofErr w:type="spellEnd"/>
      <w:r w:rsidRPr="00274AC6">
        <w:rPr>
          <w:rFonts w:asciiTheme="minorBidi" w:hAnsiTheme="minorBidi" w:cstheme="minorBidi"/>
          <w:sz w:val="28"/>
          <w:szCs w:val="28"/>
          <w:lang w:bidi="th-TH"/>
        </w:rPr>
        <w:t xml:space="preserve"> on Twitter</w:t>
      </w:r>
      <w:r w:rsidRPr="00274AC6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</w:p>
    <w:p w14:paraId="716987F2" w14:textId="77777777" w:rsidR="00AB7468" w:rsidRPr="00274AC6" w:rsidRDefault="00AB7468" w:rsidP="00274AC6">
      <w:pPr>
        <w:spacing w:line="240" w:lineRule="auto"/>
        <w:contextualSpacing/>
        <w:rPr>
          <w:rFonts w:asciiTheme="minorBidi" w:hAnsiTheme="minorBidi"/>
          <w:sz w:val="28"/>
        </w:rPr>
      </w:pPr>
    </w:p>
    <w:p w14:paraId="78914C91" w14:textId="77777777" w:rsidR="00AB7468" w:rsidRPr="00274AC6" w:rsidRDefault="00AB7468" w:rsidP="00274AC6">
      <w:pPr>
        <w:pStyle w:val="LetterBody"/>
        <w:spacing w:line="240" w:lineRule="auto"/>
        <w:contextualSpacing/>
        <w:rPr>
          <w:rFonts w:asciiTheme="minorBidi" w:hAnsiTheme="minorBidi" w:cstheme="minorBidi"/>
          <w:b/>
          <w:bCs/>
          <w:sz w:val="28"/>
          <w:szCs w:val="28"/>
        </w:rPr>
      </w:pPr>
      <w:r w:rsidRPr="00274AC6">
        <w:rPr>
          <w:rFonts w:asciiTheme="minorBidi" w:hAnsiTheme="minorBidi" w:cstheme="minorBidi"/>
          <w:b/>
          <w:bCs/>
          <w:sz w:val="28"/>
          <w:szCs w:val="28"/>
        </w:rPr>
        <w:t>For further information, please contact</w:t>
      </w:r>
      <w:r w:rsidRPr="00274AC6">
        <w:rPr>
          <w:rFonts w:asciiTheme="minorBidi" w:hAnsiTheme="minorBidi" w:cstheme="minorBidi"/>
          <w:b/>
          <w:bCs/>
          <w:sz w:val="28"/>
          <w:szCs w:val="28"/>
          <w:cs/>
          <w:lang w:bidi="th-TH"/>
        </w:rPr>
        <w:t>:</w:t>
      </w:r>
    </w:p>
    <w:p w14:paraId="7933480A" w14:textId="77777777" w:rsidR="00AB7468" w:rsidRPr="00274AC6" w:rsidRDefault="00AB7468" w:rsidP="00274AC6">
      <w:pPr>
        <w:tabs>
          <w:tab w:val="left" w:pos="5040"/>
        </w:tabs>
        <w:spacing w:after="0" w:line="240" w:lineRule="auto"/>
        <w:contextualSpacing/>
        <w:jc w:val="thaiDistribute"/>
        <w:rPr>
          <w:rFonts w:asciiTheme="minorBidi" w:eastAsia="Times New Roman" w:hAnsiTheme="minorBidi"/>
          <w:b/>
          <w:bCs/>
          <w:sz w:val="28"/>
        </w:rPr>
      </w:pPr>
    </w:p>
    <w:p w14:paraId="206F6476" w14:textId="77777777" w:rsidR="00274AC6" w:rsidRPr="00274AC6" w:rsidRDefault="00AB7468" w:rsidP="00274AC6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28"/>
        </w:rPr>
      </w:pPr>
      <w:r w:rsidRPr="00274AC6">
        <w:rPr>
          <w:rFonts w:asciiTheme="minorBidi" w:eastAsia="Times New Roman" w:hAnsiTheme="minorBidi"/>
          <w:b/>
          <w:bCs/>
          <w:sz w:val="28"/>
          <w:shd w:val="clear" w:color="auto" w:fill="FFFFFF"/>
        </w:rPr>
        <w:t>Supaporn Sootsuwan, Chemicals Business, SCG</w:t>
      </w:r>
      <w:r w:rsidR="00274AC6">
        <w:rPr>
          <w:rFonts w:asciiTheme="minorBidi" w:eastAsia="Times New Roman" w:hAnsiTheme="minorBidi" w:cs="Cordia New"/>
          <w:b/>
          <w:bCs/>
          <w:sz w:val="28"/>
          <w:shd w:val="clear" w:color="auto" w:fill="FFFFFF"/>
          <w:cs/>
        </w:rPr>
        <w:t xml:space="preserve"> </w:t>
      </w:r>
      <w:r w:rsidR="00274AC6">
        <w:rPr>
          <w:rFonts w:asciiTheme="minorBidi" w:eastAsia="Times New Roman" w:hAnsiTheme="minorBidi"/>
          <w:b/>
          <w:bCs/>
          <w:sz w:val="28"/>
          <w:shd w:val="clear" w:color="auto" w:fill="FFFFFF"/>
        </w:rPr>
        <w:tab/>
      </w:r>
      <w:r w:rsidR="00274AC6">
        <w:rPr>
          <w:rFonts w:asciiTheme="minorBidi" w:eastAsia="Times New Roman" w:hAnsiTheme="minorBidi"/>
          <w:b/>
          <w:bCs/>
          <w:sz w:val="28"/>
          <w:shd w:val="clear" w:color="auto" w:fill="FFFFFF"/>
        </w:rPr>
        <w:tab/>
      </w:r>
      <w:proofErr w:type="spellStart"/>
      <w:r w:rsidR="00274AC6" w:rsidRPr="00274AC6">
        <w:rPr>
          <w:rFonts w:asciiTheme="minorBidi" w:hAnsiTheme="minorBidi"/>
          <w:b/>
          <w:bCs/>
          <w:sz w:val="28"/>
        </w:rPr>
        <w:t>Apiradee</w:t>
      </w:r>
      <w:proofErr w:type="spellEnd"/>
      <w:r w:rsidR="00274AC6" w:rsidRPr="00274AC6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="00274AC6" w:rsidRPr="00274AC6">
        <w:rPr>
          <w:rFonts w:asciiTheme="minorBidi" w:hAnsiTheme="minorBidi"/>
          <w:b/>
          <w:bCs/>
          <w:sz w:val="28"/>
        </w:rPr>
        <w:t>Poopirom</w:t>
      </w:r>
      <w:proofErr w:type="spellEnd"/>
      <w:r w:rsidR="00274AC6" w:rsidRPr="00274AC6">
        <w:rPr>
          <w:rFonts w:asciiTheme="minorBidi" w:hAnsiTheme="minorBidi"/>
          <w:b/>
          <w:bCs/>
          <w:sz w:val="28"/>
        </w:rPr>
        <w:t>, Dow Thailand Group</w:t>
      </w:r>
    </w:p>
    <w:p w14:paraId="58C3F79B" w14:textId="25F986AE" w:rsidR="00AB7468" w:rsidRPr="00274AC6" w:rsidRDefault="00AB7468" w:rsidP="00274AC6">
      <w:pPr>
        <w:tabs>
          <w:tab w:val="left" w:pos="2970"/>
        </w:tabs>
        <w:spacing w:line="240" w:lineRule="auto"/>
        <w:contextualSpacing/>
        <w:rPr>
          <w:rFonts w:asciiTheme="minorBidi" w:hAnsiTheme="minorBidi"/>
          <w:sz w:val="28"/>
        </w:rPr>
      </w:pPr>
      <w:r w:rsidRPr="00274AC6">
        <w:rPr>
          <w:rFonts w:asciiTheme="minorBidi" w:hAnsiTheme="minorBidi"/>
          <w:sz w:val="28"/>
        </w:rPr>
        <w:t>Tel</w:t>
      </w:r>
      <w:r w:rsidRPr="00274AC6">
        <w:rPr>
          <w:rFonts w:asciiTheme="minorBidi" w:hAnsiTheme="minorBidi"/>
          <w:sz w:val="28"/>
          <w:cs/>
        </w:rPr>
        <w:t xml:space="preserve">. </w:t>
      </w:r>
      <w:r w:rsidRPr="00274AC6">
        <w:rPr>
          <w:rFonts w:asciiTheme="minorBidi" w:hAnsiTheme="minorBidi"/>
          <w:sz w:val="28"/>
        </w:rPr>
        <w:t>02</w:t>
      </w:r>
      <w:r w:rsidRPr="00274AC6">
        <w:rPr>
          <w:rFonts w:asciiTheme="minorBidi" w:hAnsiTheme="minorBidi"/>
          <w:sz w:val="28"/>
          <w:cs/>
        </w:rPr>
        <w:t>-</w:t>
      </w:r>
      <w:r w:rsidRPr="00274AC6">
        <w:rPr>
          <w:rFonts w:asciiTheme="minorBidi" w:hAnsiTheme="minorBidi"/>
          <w:sz w:val="28"/>
        </w:rPr>
        <w:t>586</w:t>
      </w:r>
      <w:r w:rsidRPr="00274AC6">
        <w:rPr>
          <w:rFonts w:asciiTheme="minorBidi" w:hAnsiTheme="minorBidi"/>
          <w:sz w:val="28"/>
          <w:cs/>
        </w:rPr>
        <w:t>-</w:t>
      </w:r>
      <w:r w:rsidRPr="00274AC6">
        <w:rPr>
          <w:rFonts w:asciiTheme="minorBidi" w:hAnsiTheme="minorBidi"/>
          <w:sz w:val="28"/>
        </w:rPr>
        <w:t>4865</w:t>
      </w:r>
      <w:r w:rsidRPr="00274AC6">
        <w:rPr>
          <w:rFonts w:asciiTheme="minorBidi" w:hAnsiTheme="minorBidi"/>
          <w:sz w:val="28"/>
          <w:cs/>
        </w:rPr>
        <w:t xml:space="preserve">/ </w:t>
      </w:r>
      <w:r w:rsidRPr="00274AC6">
        <w:rPr>
          <w:rFonts w:asciiTheme="minorBidi" w:hAnsiTheme="minorBidi"/>
          <w:sz w:val="28"/>
        </w:rPr>
        <w:t>082</w:t>
      </w:r>
      <w:r w:rsidRPr="00274AC6">
        <w:rPr>
          <w:rFonts w:asciiTheme="minorBidi" w:hAnsiTheme="minorBidi"/>
          <w:sz w:val="28"/>
          <w:cs/>
        </w:rPr>
        <w:t>-</w:t>
      </w:r>
      <w:r w:rsidRPr="00274AC6">
        <w:rPr>
          <w:rFonts w:asciiTheme="minorBidi" w:hAnsiTheme="minorBidi"/>
          <w:sz w:val="28"/>
        </w:rPr>
        <w:t>453</w:t>
      </w:r>
      <w:r w:rsidRPr="00274AC6">
        <w:rPr>
          <w:rFonts w:asciiTheme="minorBidi" w:hAnsiTheme="minorBidi"/>
          <w:sz w:val="28"/>
          <w:cs/>
        </w:rPr>
        <w:t>-</w:t>
      </w:r>
      <w:r w:rsidR="00994542" w:rsidRPr="00274AC6">
        <w:rPr>
          <w:rFonts w:asciiTheme="minorBidi" w:hAnsiTheme="minorBidi"/>
          <w:sz w:val="28"/>
        </w:rPr>
        <w:t>5191</w:t>
      </w:r>
      <w:r w:rsidR="00274AC6">
        <w:rPr>
          <w:rFonts w:asciiTheme="minorBidi" w:hAnsiTheme="minorBidi"/>
          <w:sz w:val="28"/>
        </w:rPr>
        <w:tab/>
      </w:r>
      <w:r w:rsidR="00274AC6">
        <w:rPr>
          <w:rFonts w:asciiTheme="minorBidi" w:hAnsiTheme="minorBidi"/>
          <w:sz w:val="28"/>
        </w:rPr>
        <w:tab/>
      </w:r>
      <w:r w:rsidR="00274AC6">
        <w:rPr>
          <w:rFonts w:asciiTheme="minorBidi" w:hAnsiTheme="minorBidi"/>
          <w:sz w:val="28"/>
        </w:rPr>
        <w:tab/>
      </w:r>
      <w:r w:rsidR="00274AC6">
        <w:rPr>
          <w:rFonts w:asciiTheme="minorBidi" w:hAnsiTheme="minorBidi"/>
          <w:sz w:val="28"/>
        </w:rPr>
        <w:tab/>
      </w:r>
      <w:r w:rsidR="00274AC6" w:rsidRPr="00274AC6">
        <w:rPr>
          <w:rFonts w:asciiTheme="minorBidi" w:hAnsiTheme="minorBidi"/>
          <w:sz w:val="28"/>
        </w:rPr>
        <w:t>Tel</w:t>
      </w:r>
      <w:r w:rsidR="00274AC6" w:rsidRPr="00274AC6">
        <w:rPr>
          <w:rFonts w:asciiTheme="minorBidi" w:hAnsiTheme="minorBidi"/>
          <w:sz w:val="28"/>
          <w:cs/>
        </w:rPr>
        <w:t xml:space="preserve">. </w:t>
      </w:r>
      <w:r w:rsidR="00274AC6" w:rsidRPr="00274AC6">
        <w:rPr>
          <w:rFonts w:asciiTheme="minorBidi" w:hAnsiTheme="minorBidi"/>
          <w:sz w:val="28"/>
        </w:rPr>
        <w:t>02</w:t>
      </w:r>
      <w:r w:rsidR="00274AC6" w:rsidRPr="00274AC6">
        <w:rPr>
          <w:rFonts w:asciiTheme="minorBidi" w:hAnsiTheme="minorBidi"/>
          <w:sz w:val="28"/>
          <w:cs/>
        </w:rPr>
        <w:t>-</w:t>
      </w:r>
      <w:r w:rsidR="00274AC6" w:rsidRPr="00274AC6">
        <w:rPr>
          <w:rFonts w:asciiTheme="minorBidi" w:hAnsiTheme="minorBidi"/>
          <w:sz w:val="28"/>
        </w:rPr>
        <w:t xml:space="preserve">3657296 </w:t>
      </w:r>
      <w:r w:rsidR="00274AC6" w:rsidRPr="00274AC6">
        <w:rPr>
          <w:rFonts w:asciiTheme="minorBidi" w:hAnsiTheme="minorBidi"/>
          <w:sz w:val="28"/>
          <w:cs/>
        </w:rPr>
        <w:t xml:space="preserve">/ </w:t>
      </w:r>
      <w:r w:rsidR="00274AC6" w:rsidRPr="00274AC6">
        <w:rPr>
          <w:rFonts w:asciiTheme="minorBidi" w:hAnsiTheme="minorBidi"/>
          <w:sz w:val="28"/>
        </w:rPr>
        <w:t>081</w:t>
      </w:r>
      <w:r w:rsidR="00274AC6" w:rsidRPr="00274AC6">
        <w:rPr>
          <w:rFonts w:asciiTheme="minorBidi" w:hAnsiTheme="minorBidi"/>
          <w:sz w:val="28"/>
          <w:cs/>
        </w:rPr>
        <w:t>-</w:t>
      </w:r>
      <w:r w:rsidR="00274AC6" w:rsidRPr="00274AC6">
        <w:rPr>
          <w:rFonts w:asciiTheme="minorBidi" w:hAnsiTheme="minorBidi"/>
          <w:sz w:val="28"/>
        </w:rPr>
        <w:t>8026933</w:t>
      </w:r>
    </w:p>
    <w:p w14:paraId="598D0D9B" w14:textId="574F82FD" w:rsidR="00274AC6" w:rsidRPr="00274AC6" w:rsidRDefault="00AB7468" w:rsidP="00274AC6">
      <w:pPr>
        <w:tabs>
          <w:tab w:val="left" w:pos="2970"/>
        </w:tabs>
        <w:spacing w:after="0" w:line="240" w:lineRule="auto"/>
        <w:contextualSpacing/>
        <w:rPr>
          <w:rFonts w:asciiTheme="minorBidi" w:eastAsia="Times New Roman" w:hAnsiTheme="minorBidi"/>
          <w:noProof/>
          <w:sz w:val="28"/>
        </w:rPr>
      </w:pPr>
      <w:r w:rsidRPr="00274AC6">
        <w:rPr>
          <w:rFonts w:asciiTheme="minorBidi" w:hAnsiTheme="minorBidi"/>
          <w:sz w:val="28"/>
        </w:rPr>
        <w:t>Email</w:t>
      </w:r>
      <w:r w:rsidRPr="00274AC6">
        <w:rPr>
          <w:rFonts w:asciiTheme="minorBidi" w:hAnsiTheme="minorBidi"/>
          <w:sz w:val="28"/>
          <w:cs/>
        </w:rPr>
        <w:t xml:space="preserve">: </w:t>
      </w:r>
      <w:hyperlink r:id="rId7" w:history="1">
        <w:r w:rsidRPr="00274AC6">
          <w:rPr>
            <w:rStyle w:val="Hyperlink"/>
            <w:rFonts w:asciiTheme="minorBidi" w:eastAsia="Times New Roman" w:hAnsiTheme="minorBidi"/>
            <w:noProof/>
            <w:color w:val="auto"/>
            <w:sz w:val="28"/>
          </w:rPr>
          <w:t>supapsoo@scg</w:t>
        </w:r>
        <w:r w:rsidRPr="00274AC6">
          <w:rPr>
            <w:rStyle w:val="Hyperlink"/>
            <w:rFonts w:asciiTheme="minorBidi" w:eastAsia="Times New Roman" w:hAnsiTheme="minorBidi"/>
            <w:noProof/>
            <w:color w:val="auto"/>
            <w:sz w:val="28"/>
            <w:cs/>
          </w:rPr>
          <w:t>.</w:t>
        </w:r>
        <w:r w:rsidRPr="00274AC6">
          <w:rPr>
            <w:rStyle w:val="Hyperlink"/>
            <w:rFonts w:asciiTheme="minorBidi" w:eastAsia="Times New Roman" w:hAnsiTheme="minorBidi"/>
            <w:noProof/>
            <w:color w:val="auto"/>
            <w:sz w:val="28"/>
          </w:rPr>
          <w:t>com</w:t>
        </w:r>
      </w:hyperlink>
      <w:r w:rsidR="00274AC6">
        <w:rPr>
          <w:rFonts w:asciiTheme="minorBidi" w:eastAsia="Times New Roman" w:hAnsiTheme="minorBidi"/>
          <w:noProof/>
          <w:sz w:val="28"/>
        </w:rPr>
        <w:tab/>
      </w:r>
      <w:r w:rsidR="00274AC6">
        <w:rPr>
          <w:rFonts w:asciiTheme="minorBidi" w:eastAsia="Times New Roman" w:hAnsiTheme="minorBidi" w:cs="Cordia New"/>
          <w:noProof/>
          <w:sz w:val="28"/>
          <w:cs/>
        </w:rPr>
        <w:t xml:space="preserve"> </w:t>
      </w:r>
      <w:r w:rsidR="00274AC6">
        <w:rPr>
          <w:rFonts w:asciiTheme="minorBidi" w:eastAsia="Times New Roman" w:hAnsiTheme="minorBidi"/>
          <w:noProof/>
          <w:sz w:val="28"/>
        </w:rPr>
        <w:tab/>
      </w:r>
      <w:r w:rsidR="00274AC6">
        <w:rPr>
          <w:rFonts w:asciiTheme="minorBidi" w:eastAsia="Times New Roman" w:hAnsiTheme="minorBidi"/>
          <w:noProof/>
          <w:sz w:val="28"/>
        </w:rPr>
        <w:tab/>
      </w:r>
      <w:r w:rsidR="00274AC6">
        <w:rPr>
          <w:rFonts w:asciiTheme="minorBidi" w:eastAsia="Times New Roman" w:hAnsiTheme="minorBidi"/>
          <w:noProof/>
          <w:sz w:val="28"/>
        </w:rPr>
        <w:tab/>
      </w:r>
      <w:r w:rsidR="00274AC6" w:rsidRPr="00274AC6">
        <w:rPr>
          <w:rFonts w:asciiTheme="minorBidi" w:hAnsiTheme="minorBidi"/>
          <w:sz w:val="28"/>
        </w:rPr>
        <w:t>Email</w:t>
      </w:r>
      <w:r w:rsidR="00274AC6" w:rsidRPr="00274AC6">
        <w:rPr>
          <w:rFonts w:asciiTheme="minorBidi" w:hAnsiTheme="minorBidi"/>
          <w:sz w:val="28"/>
          <w:rtl/>
          <w:cs/>
        </w:rPr>
        <w:t>:</w:t>
      </w:r>
      <w:hyperlink r:id="rId8" w:history="1">
        <w:r w:rsidR="00274AC6" w:rsidRPr="00274AC6">
          <w:rPr>
            <w:rStyle w:val="Hyperlink"/>
            <w:rFonts w:asciiTheme="minorBidi" w:hAnsiTheme="minorBidi"/>
            <w:color w:val="auto"/>
            <w:sz w:val="28"/>
          </w:rPr>
          <w:t xml:space="preserve"> papiradee@dow</w:t>
        </w:r>
        <w:r w:rsidR="00274AC6" w:rsidRPr="00274AC6">
          <w:rPr>
            <w:rStyle w:val="Hyperlink"/>
            <w:rFonts w:asciiTheme="minorBidi" w:hAnsiTheme="minorBidi"/>
            <w:color w:val="auto"/>
            <w:sz w:val="28"/>
            <w:cs/>
          </w:rPr>
          <w:t>.</w:t>
        </w:r>
        <w:r w:rsidR="00274AC6" w:rsidRPr="00274AC6">
          <w:rPr>
            <w:rStyle w:val="Hyperlink"/>
            <w:rFonts w:asciiTheme="minorBidi" w:hAnsiTheme="minorBidi"/>
            <w:color w:val="auto"/>
            <w:sz w:val="28"/>
          </w:rPr>
          <w:t>com</w:t>
        </w:r>
      </w:hyperlink>
      <w:r w:rsidR="00274AC6" w:rsidRPr="00274AC6">
        <w:rPr>
          <w:rFonts w:asciiTheme="minorBidi" w:eastAsia="Times New Roman" w:hAnsiTheme="minorBidi"/>
          <w:sz w:val="28"/>
          <w:u w:val="single"/>
          <w:cs/>
        </w:rPr>
        <w:t xml:space="preserve"> </w:t>
      </w:r>
    </w:p>
    <w:p w14:paraId="447E0F05" w14:textId="681A71CF" w:rsidR="00C27F80" w:rsidRPr="00274AC6" w:rsidRDefault="00C27F80" w:rsidP="00274AC6">
      <w:pPr>
        <w:tabs>
          <w:tab w:val="left" w:pos="2970"/>
        </w:tabs>
        <w:spacing w:after="0" w:line="240" w:lineRule="auto"/>
        <w:contextualSpacing/>
        <w:rPr>
          <w:rFonts w:asciiTheme="minorBidi" w:eastAsia="Times New Roman" w:hAnsiTheme="minorBidi"/>
          <w:noProof/>
          <w:sz w:val="28"/>
        </w:rPr>
      </w:pPr>
    </w:p>
    <w:p w14:paraId="09785B81" w14:textId="20611A39" w:rsidR="00AB7468" w:rsidRPr="00274AC6" w:rsidRDefault="00AB7468" w:rsidP="00274AC6">
      <w:pPr>
        <w:tabs>
          <w:tab w:val="left" w:pos="3600"/>
          <w:tab w:val="left" w:pos="5040"/>
          <w:tab w:val="left" w:pos="7020"/>
        </w:tabs>
        <w:spacing w:after="0" w:line="240" w:lineRule="auto"/>
        <w:contextualSpacing/>
        <w:rPr>
          <w:rFonts w:asciiTheme="minorBidi" w:hAnsiTheme="minorBidi"/>
          <w:sz w:val="28"/>
          <w:u w:val="single"/>
        </w:rPr>
      </w:pPr>
      <w:r w:rsidRPr="00274AC6">
        <w:rPr>
          <w:rFonts w:asciiTheme="minorBidi" w:hAnsiTheme="minorBidi"/>
          <w:sz w:val="28"/>
        </w:rPr>
        <w:tab/>
      </w:r>
    </w:p>
    <w:sectPr w:rsidR="00AB7468" w:rsidRPr="00274AC6" w:rsidSect="00274AC6">
      <w:headerReference w:type="default" r:id="rId9"/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D1752" w14:textId="77777777" w:rsidR="008820EB" w:rsidRDefault="008820EB" w:rsidP="00B17792">
      <w:pPr>
        <w:spacing w:after="0" w:line="240" w:lineRule="auto"/>
      </w:pPr>
      <w:r>
        <w:separator/>
      </w:r>
    </w:p>
  </w:endnote>
  <w:endnote w:type="continuationSeparator" w:id="0">
    <w:p w14:paraId="7884ABCC" w14:textId="77777777" w:rsidR="008820EB" w:rsidRDefault="008820EB" w:rsidP="00B1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1212A" w14:textId="77777777" w:rsidR="008820EB" w:rsidRDefault="008820EB" w:rsidP="00B17792">
      <w:pPr>
        <w:spacing w:after="0" w:line="240" w:lineRule="auto"/>
      </w:pPr>
      <w:r>
        <w:separator/>
      </w:r>
    </w:p>
  </w:footnote>
  <w:footnote w:type="continuationSeparator" w:id="0">
    <w:p w14:paraId="3987B7E4" w14:textId="77777777" w:rsidR="008820EB" w:rsidRDefault="008820EB" w:rsidP="00B17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4EAF5" w14:textId="77777777" w:rsidR="00B17792" w:rsidRDefault="00B17792">
    <w:pPr>
      <w:pStyle w:val="Header"/>
    </w:pPr>
    <w:r w:rsidRPr="00B17792">
      <w:rPr>
        <w:noProof/>
      </w:rPr>
      <w:drawing>
        <wp:anchor distT="0" distB="0" distL="114300" distR="114300" simplePos="0" relativeHeight="251659264" behindDoc="0" locked="0" layoutInCell="1" allowOverlap="1" wp14:anchorId="6C0BA5D6" wp14:editId="15E5E1FB">
          <wp:simplePos x="0" y="0"/>
          <wp:positionH relativeFrom="column">
            <wp:posOffset>5149850</wp:posOffset>
          </wp:positionH>
          <wp:positionV relativeFrom="paragraph">
            <wp:posOffset>-152400</wp:posOffset>
          </wp:positionV>
          <wp:extent cx="1289050" cy="584200"/>
          <wp:effectExtent l="0" t="0" r="6350" b="635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4" r="56701"/>
                  <a:stretch/>
                </pic:blipFill>
                <pic:spPr bwMode="auto">
                  <a:xfrm>
                    <a:off x="0" y="0"/>
                    <a:ext cx="12890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7792">
      <w:rPr>
        <w:noProof/>
      </w:rPr>
      <w:drawing>
        <wp:anchor distT="0" distB="0" distL="114300" distR="114300" simplePos="0" relativeHeight="251660288" behindDoc="0" locked="0" layoutInCell="1" allowOverlap="1" wp14:anchorId="2F1B0891" wp14:editId="3B2466DC">
          <wp:simplePos x="0" y="0"/>
          <wp:positionH relativeFrom="column">
            <wp:posOffset>3454400</wp:posOffset>
          </wp:positionH>
          <wp:positionV relativeFrom="paragraph">
            <wp:posOffset>-146050</wp:posOffset>
          </wp:positionV>
          <wp:extent cx="1377950" cy="584200"/>
          <wp:effectExtent l="0" t="0" r="0" b="635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258"/>
                  <a:stretch/>
                </pic:blipFill>
                <pic:spPr bwMode="auto">
                  <a:xfrm>
                    <a:off x="0" y="0"/>
                    <a:ext cx="13779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120B43" w14:textId="77777777" w:rsidR="00061C4C" w:rsidRPr="00061C4C" w:rsidRDefault="00061C4C">
    <w:pPr>
      <w:pStyle w:val="Header"/>
      <w:rPr>
        <w:rFonts w:ascii="Cordia New" w:hAnsi="Cordia New" w:cs="Cordia New"/>
        <w:i/>
        <w:iCs/>
        <w:sz w:val="16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MzEwMjM2NDW0sDBQ0lEKTi0uzszPAykwqQUAyKk/0SwAAAA="/>
  </w:docVars>
  <w:rsids>
    <w:rsidRoot w:val="00B17792"/>
    <w:rsid w:val="000050C4"/>
    <w:rsid w:val="00061C4C"/>
    <w:rsid w:val="000727F7"/>
    <w:rsid w:val="001651F8"/>
    <w:rsid w:val="00172A8D"/>
    <w:rsid w:val="00274AC6"/>
    <w:rsid w:val="00341628"/>
    <w:rsid w:val="00474EB9"/>
    <w:rsid w:val="00476C8E"/>
    <w:rsid w:val="00483611"/>
    <w:rsid w:val="00512002"/>
    <w:rsid w:val="00562A6D"/>
    <w:rsid w:val="0057717D"/>
    <w:rsid w:val="00594C76"/>
    <w:rsid w:val="005B5C0A"/>
    <w:rsid w:val="005F42DC"/>
    <w:rsid w:val="006501E0"/>
    <w:rsid w:val="00664A33"/>
    <w:rsid w:val="007C03EB"/>
    <w:rsid w:val="00837D38"/>
    <w:rsid w:val="008422BC"/>
    <w:rsid w:val="008820EB"/>
    <w:rsid w:val="00994542"/>
    <w:rsid w:val="009945B8"/>
    <w:rsid w:val="00997B6A"/>
    <w:rsid w:val="00A3777E"/>
    <w:rsid w:val="00A51591"/>
    <w:rsid w:val="00AB7468"/>
    <w:rsid w:val="00AD59A6"/>
    <w:rsid w:val="00B17792"/>
    <w:rsid w:val="00B54A3B"/>
    <w:rsid w:val="00B63492"/>
    <w:rsid w:val="00B74AE6"/>
    <w:rsid w:val="00B92C09"/>
    <w:rsid w:val="00BB0C98"/>
    <w:rsid w:val="00BB23D2"/>
    <w:rsid w:val="00BE70AE"/>
    <w:rsid w:val="00C27F80"/>
    <w:rsid w:val="00C54093"/>
    <w:rsid w:val="00C55F77"/>
    <w:rsid w:val="00CC6409"/>
    <w:rsid w:val="00CF1A65"/>
    <w:rsid w:val="00D3020A"/>
    <w:rsid w:val="00E42973"/>
    <w:rsid w:val="00E90C02"/>
    <w:rsid w:val="00ED6AB3"/>
    <w:rsid w:val="00F26014"/>
    <w:rsid w:val="00F27BDF"/>
    <w:rsid w:val="00F46902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F0D3"/>
  <w15:chartTrackingRefBased/>
  <w15:docId w15:val="{19032F09-8FEA-47CB-80DC-165E6516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92"/>
  </w:style>
  <w:style w:type="paragraph" w:styleId="Footer">
    <w:name w:val="footer"/>
    <w:basedOn w:val="Normal"/>
    <w:link w:val="FooterChar"/>
    <w:uiPriority w:val="99"/>
    <w:unhideWhenUsed/>
    <w:rsid w:val="00B1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92"/>
  </w:style>
  <w:style w:type="character" w:styleId="CommentReference">
    <w:name w:val="annotation reference"/>
    <w:basedOn w:val="DefaultParagraphFont"/>
    <w:uiPriority w:val="99"/>
    <w:semiHidden/>
    <w:unhideWhenUsed/>
    <w:rsid w:val="00B177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79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792"/>
    <w:rPr>
      <w:sz w:val="20"/>
      <w:szCs w:val="25"/>
    </w:rPr>
  </w:style>
  <w:style w:type="paragraph" w:customStyle="1" w:styleId="LetterBody">
    <w:name w:val="Letter Body"/>
    <w:qFormat/>
    <w:rsid w:val="00B17792"/>
    <w:pPr>
      <w:spacing w:after="0" w:line="240" w:lineRule="exact"/>
    </w:pPr>
    <w:rPr>
      <w:rFonts w:ascii="Arial" w:eastAsia="Times New Roman" w:hAnsi="Arial" w:cs="Cordia New"/>
      <w:sz w:val="20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B17792"/>
    <w:rPr>
      <w:color w:val="E80033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7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792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57717D"/>
    <w:pPr>
      <w:spacing w:after="0" w:line="240" w:lineRule="auto"/>
    </w:pPr>
  </w:style>
  <w:style w:type="paragraph" w:styleId="NoSpacing">
    <w:name w:val="No Spacing"/>
    <w:uiPriority w:val="1"/>
    <w:qFormat/>
    <w:rsid w:val="00FE7E93"/>
    <w:pPr>
      <w:spacing w:after="0" w:line="240" w:lineRule="auto"/>
    </w:pPr>
    <w:rPr>
      <w:rFonts w:ascii="Calibri" w:hAnsi="Calibri" w:cs="Angsana New"/>
    </w:rPr>
  </w:style>
  <w:style w:type="character" w:styleId="Strong">
    <w:name w:val="Strong"/>
    <w:basedOn w:val="DefaultParagraphFont"/>
    <w:uiPriority w:val="22"/>
    <w:qFormat/>
    <w:rsid w:val="00AB74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papiradee@dow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upapsoo@sc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gchemical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Sootsuwan;Apiradee, Poopirom (P)</dc:creator>
  <cp:keywords/>
  <dc:description/>
  <cp:lastModifiedBy>Sutinee Phukosi</cp:lastModifiedBy>
  <cp:revision>9</cp:revision>
  <dcterms:created xsi:type="dcterms:W3CDTF">2021-04-30T16:07:00Z</dcterms:created>
  <dcterms:modified xsi:type="dcterms:W3CDTF">2021-05-05T05:04:00Z</dcterms:modified>
</cp:coreProperties>
</file>